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deuteronomy-14"/>
    <w:p>
      <w:pPr>
        <w:pStyle w:val="Heading1"/>
      </w:pPr>
      <w:r>
        <w:t xml:space="preserve">Homiletics Analysis: Deuteronomy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Deuteronomy 14 divides into two distinct but related sections. The first (vv. 1–21) addresses the identity-marking practices of Israel: the prohibition of pagan mourning rites (vv. 1–2), the dietary laws (vv. 3–21), and in both cases the grounding rationale is the same —</w:t>
      </w:r>
      <w:r>
        <w:t xml:space="preserve"> </w:t>
      </w:r>
      <w:r>
        <w:t xml:space="preserve">“you are a holy people to the LORD your God”</w:t>
      </w:r>
      <w:r>
        <w:t xml:space="preserve"> </w:t>
      </w:r>
      <w:r>
        <w:t xml:space="preserve">(vv. 2, 21). The second section (vv. 22–29) addresses the tithe: the annual tithe brought to the central sanctuary as an act of worship and communal celebration (vv. 22–27), and the triennial tithe directed toward the Levite, the sojourner, the fatherless, and the widow (vv. 28–29). The chapter thus moves from</w:t>
      </w:r>
      <w:r>
        <w:t xml:space="preserve"> </w:t>
      </w:r>
      <w:r>
        <w:rPr>
          <w:i/>
          <w:iCs/>
        </w:rPr>
        <w:t xml:space="preserve">identity</w:t>
      </w:r>
      <w:r>
        <w:t xml:space="preserve"> </w:t>
      </w:r>
      <w:r>
        <w:t xml:space="preserve">(what Israel is and what distinguishes her) to</w:t>
      </w:r>
      <w:r>
        <w:t xml:space="preserve"> </w:t>
      </w:r>
      <w:r>
        <w:rPr>
          <w:i/>
          <w:iCs/>
        </w:rPr>
        <w:t xml:space="preserve">practice</w:t>
      </w:r>
      <w:r>
        <w:t xml:space="preserve"> </w:t>
      </w:r>
      <w:r>
        <w:t xml:space="preserve">(how Israel orders her economic life in response to that identity). The structural hinge is holiness — Israel’s separation unto God shapes both her table practices and her fiscal practices.</w:t>
      </w:r>
    </w:p>
    <w:p>
      <w:pPr>
        <w:pStyle w:val="BodyText"/>
      </w:pPr>
      <w:r>
        <w:rPr>
          <w:b/>
          <w:bCs/>
        </w:rPr>
        <w:t xml:space="preserve">This Text — Intent</w:t>
      </w:r>
    </w:p>
    <w:p>
      <w:pPr>
        <w:pStyle w:val="BodyText"/>
      </w:pPr>
      <w:r>
        <w:t xml:space="preserve">God is seeking to produce in Israel a settled, embodied, habitual recognition that she is</w:t>
      </w:r>
      <w:r>
        <w:t xml:space="preserve"> </w:t>
      </w:r>
      <w:r>
        <w:rPr>
          <w:i/>
          <w:iCs/>
        </w:rPr>
        <w:t xml:space="preserve">not like the nations</w:t>
      </w:r>
      <w:r>
        <w:t xml:space="preserve"> </w:t>
      </w:r>
      <w:r>
        <w:t xml:space="preserve">— and that this difference is not a burden to be negotiated but a privilege to be inhabited. The dietary restrictions and mourning prohibitions are not arbitrary — they are the visible, daily, repeated enactment of a theological reality: Israel belongs to the LORD. The tithe sections reinforce the same claim from the direction of economic life — Israel’s wealth is not hers to hoard or deploy as she pleases; it is covenant wealth, to be returned to God in worship and extended to the vulnerable in care. God intends that the cumulative effect of this chapter’s regulations would be a people who</w:t>
      </w:r>
      <w:r>
        <w:t xml:space="preserve"> </w:t>
      </w:r>
      <w:r>
        <w:rPr>
          <w:i/>
          <w:iCs/>
        </w:rPr>
        <w:t xml:space="preserve">live differently</w:t>
      </w:r>
      <w:r>
        <w:t xml:space="preserve"> </w:t>
      </w:r>
      <w:r>
        <w:t xml:space="preserve">because they</w:t>
      </w:r>
      <w:r>
        <w:t xml:space="preserve"> </w:t>
      </w:r>
      <w:r>
        <w:rPr>
          <w:i/>
          <w:iCs/>
        </w:rPr>
        <w:t xml:space="preserve">are</w:t>
      </w:r>
      <w:r>
        <w:t xml:space="preserve"> </w:t>
      </w:r>
      <w:r>
        <w:t xml:space="preserve">different — a people whose daily habits, table, and treasury all bear witness to their covenant identity.</w:t>
      </w:r>
    </w:p>
    <w:p>
      <w:r>
        <w:pict>
          <v:rect style="width:0;height:1.5pt" o:hralign="center" o:hrstd="t" o:hr="t"/>
        </w:pict>
      </w:r>
    </w:p>
    <w:p>
      <w:pPr>
        <w:pStyle w:val="FirstParagraph"/>
      </w:pPr>
      <w:r>
        <w:rPr>
          <w:b/>
          <w:bCs/>
        </w:rPr>
        <w:t xml:space="preserve">Subject Sentence:</w:t>
      </w:r>
      <w:r>
        <w:t xml:space="preserve"> </w:t>
      </w:r>
      <w:r>
        <w:t xml:space="preserve">Israel’s holiness before God shapes both her table and her treasury.</w:t>
      </w:r>
    </w:p>
    <w:p>
      <w:r>
        <w:pict>
          <v:rect style="width:0;height:1.5pt" o:hralign="center" o:hrstd="t" o:hr="t"/>
        </w:pict>
      </w:r>
    </w:p>
    <w:p>
      <w:pPr>
        <w:pStyle w:val="FirstParagraph"/>
      </w:pPr>
      <w:r>
        <w:rPr>
          <w:b/>
          <w:bCs/>
        </w:rPr>
        <w:t xml:space="preserve">Primary Claim:</w:t>
      </w:r>
      <w:r>
        <w:t xml:space="preserve"> </w:t>
      </w:r>
      <w:r>
        <w:t xml:space="preserve">Because Israel belongs entirely to the LORD as His holy people, every dimension of her daily life — what she eats, how she mourns, how she uses her wealth — must be ordered by that identity rather than by the surrounding nations’ patterns.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Dietary Laws: Ceremonial, Moral, or Creational?</w:t>
      </w:r>
    </w:p>
    <w:p>
      <w:pPr>
        <w:pStyle w:val="BodyText"/>
      </w:pPr>
      <w:r>
        <w:t xml:space="preserve">The most significant interpretive question in the first section concerns the</w:t>
      </w:r>
      <w:r>
        <w:t xml:space="preserve"> </w:t>
      </w:r>
      <w:r>
        <w:rPr>
          <w:i/>
          <w:iCs/>
        </w:rPr>
        <w:t xml:space="preserve">purpose and continuing applicability</w:t>
      </w:r>
      <w:r>
        <w:t xml:space="preserve"> </w:t>
      </w:r>
      <w:r>
        <w:t xml:space="preserve">of the dietary laws. Four readings merit evaluation.</w:t>
      </w:r>
    </w:p>
    <w:p>
      <w:pPr>
        <w:pStyle w:val="BodyText"/>
      </w:pPr>
      <w:r>
        <w:t xml:space="preserve">The</w:t>
      </w:r>
      <w:r>
        <w:t xml:space="preserve"> </w:t>
      </w:r>
      <w:r>
        <w:rPr>
          <w:i/>
          <w:iCs/>
        </w:rPr>
        <w:t xml:space="preserve">Reformed</w:t>
      </w:r>
      <w:r>
        <w:t xml:space="preserve"> </w:t>
      </w:r>
      <w:r>
        <w:t xml:space="preserve">reading follows the threefold division of the law (moral, ceremonial, civil) and locates the dietary laws within the ceremonial category — regulations that were given as typological markers of Israel’s distinctiveness, fulfilled and abrogated in Christ (Mark 7:19; Acts 10:9–16; Romans 14; Colossians 2:16–17). On this reading, the</w:t>
      </w:r>
      <w:r>
        <w:t xml:space="preserve"> </w:t>
      </w:r>
      <w:r>
        <w:rPr>
          <w:i/>
          <w:iCs/>
        </w:rPr>
        <w:t xml:space="preserve">theological reality</w:t>
      </w:r>
      <w:r>
        <w:t xml:space="preserve"> </w:t>
      </w:r>
      <w:r>
        <w:t xml:space="preserve">the laws signified (holiness, separation from defilement, belonging to God) remains permanently normative, while the</w:t>
      </w:r>
      <w:r>
        <w:t xml:space="preserve"> </w:t>
      </w:r>
      <w:r>
        <w:rPr>
          <w:i/>
          <w:iCs/>
        </w:rPr>
        <w:t xml:space="preserve">specific regulations</w:t>
      </w:r>
      <w:r>
        <w:t xml:space="preserve"> </w:t>
      </w:r>
      <w:r>
        <w:t xml:space="preserve">themselves are fulfilled in Christ and no longer binding on the new covenant people. This reading is well-grounded in the New Testament’s explicit handling of food laws and accounts for both the laws’ original purpose and their Christological terminus.</w:t>
      </w:r>
    </w:p>
    <w:p>
      <w:pPr>
        <w:pStyle w:val="BodyText"/>
      </w:pPr>
      <w:r>
        <w:t xml:space="preserve">The</w:t>
      </w:r>
      <w:r>
        <w:t xml:space="preserve"> </w:t>
      </w:r>
      <w:r>
        <w:rPr>
          <w:i/>
          <w:iCs/>
        </w:rPr>
        <w:t xml:space="preserve">Dispensational</w:t>
      </w:r>
      <w:r>
        <w:t xml:space="preserve"> </w:t>
      </w:r>
      <w:r>
        <w:t xml:space="preserve">reading largely agrees on non-applicability to the church but tends to ground this in the Israel/Church distinction rather than in typological fulfillment — the laws belonged to the Mosaic economy governing national Israel and simply do not apply to the church as a different administration. This reading arrives at a similar conclusion but by a different route. The Reformed reading is preferred because it accounts not only for</w:t>
      </w:r>
      <w:r>
        <w:t xml:space="preserve"> </w:t>
      </w:r>
      <w:r>
        <w:rPr>
          <w:i/>
          <w:iCs/>
        </w:rPr>
        <w:t xml:space="preserve">why</w:t>
      </w:r>
      <w:r>
        <w:t xml:space="preserve"> </w:t>
      </w:r>
      <w:r>
        <w:t xml:space="preserve">the laws don’t apply but</w:t>
      </w:r>
      <w:r>
        <w:t xml:space="preserve"> </w:t>
      </w:r>
      <w:r>
        <w:rPr>
          <w:i/>
          <w:iCs/>
        </w:rPr>
        <w:t xml:space="preserve">how they pointed forward</w:t>
      </w:r>
      <w:r>
        <w:t xml:space="preserve"> </w:t>
      </w:r>
      <w:r>
        <w:t xml:space="preserve">— their typological function is part of their meaning, not merely their inapplicability.</w:t>
      </w:r>
    </w:p>
    <w:p>
      <w:pPr>
        <w:pStyle w:val="BodyText"/>
      </w:pPr>
      <w:r>
        <w:t xml:space="preserve">The</w:t>
      </w:r>
      <w:r>
        <w:t xml:space="preserve"> </w:t>
      </w:r>
      <w:r>
        <w:rPr>
          <w:i/>
          <w:iCs/>
        </w:rPr>
        <w:t xml:space="preserve">Seventh-day Adventist</w:t>
      </w:r>
      <w:r>
        <w:t xml:space="preserve"> </w:t>
      </w:r>
      <w:r>
        <w:t xml:space="preserve">and some</w:t>
      </w:r>
      <w:r>
        <w:t xml:space="preserve"> </w:t>
      </w:r>
      <w:r>
        <w:rPr>
          <w:i/>
          <w:iCs/>
        </w:rPr>
        <w:t xml:space="preserve">Messianic Jewish</w:t>
      </w:r>
      <w:r>
        <w:t xml:space="preserve"> </w:t>
      </w:r>
      <w:r>
        <w:t xml:space="preserve">readings retain the dietary laws as perpetually binding, either on hygienic grounds (the laws reflect creational health wisdom) or on grounds of Torah-observance for all covenant members. This reading fails to reckon with the weight of New Testament evidence (Acts 10; Mark 7:19; Romans 14) and requires reading the laws as permanently moral-creational rather than typological-ceremonial. The text itself provides no basis for the hygienic rationale — the grounding is consistently theological (</w:t>
      </w:r>
      <w:r>
        <w:t xml:space="preserve">“you are holy”</w:t>
      </w:r>
      <w:r>
        <w:t xml:space="preserve">), not medical.</w:t>
      </w:r>
    </w:p>
    <w:p>
      <w:pPr>
        <w:pStyle w:val="BodyText"/>
      </w:pPr>
      <w:r>
        <w:t xml:space="preserve">A</w:t>
      </w:r>
      <w:r>
        <w:t xml:space="preserve"> </w:t>
      </w:r>
      <w:r>
        <w:rPr>
          <w:i/>
          <w:iCs/>
        </w:rPr>
        <w:t xml:space="preserve">Lutheran</w:t>
      </w:r>
      <w:r>
        <w:t xml:space="preserve"> </w:t>
      </w:r>
      <w:r>
        <w:t xml:space="preserve">reading tends to collapse the threefold law distinction, treating the dietary laws as entirely abrogated and focusing the chapter’s message almost entirely on the Gospel of Israel’s identity as God’s chosen people. This is exegetically sound regarding abrogation but may underweight the positive typological significance of the laws — their</w:t>
      </w:r>
      <w:r>
        <w:t xml:space="preserve"> </w:t>
      </w:r>
      <w:r>
        <w:rPr>
          <w:i/>
          <w:iCs/>
        </w:rPr>
        <w:t xml:space="preserve">function</w:t>
      </w:r>
      <w:r>
        <w:t xml:space="preserve"> </w:t>
      </w:r>
      <w:r>
        <w:t xml:space="preserve">as embodied holiness-markers is instructive even where the specific regulations are no longer binding.</w:t>
      </w:r>
    </w:p>
    <w:p>
      <w:pPr>
        <w:pStyle w:val="BodyText"/>
      </w:pPr>
      <w:r>
        <w:rPr>
          <w:b/>
          <w:bCs/>
        </w:rPr>
        <w:t xml:space="preserve">The Tithe: Percentage, Principle, or Both?</w:t>
      </w:r>
    </w:p>
    <w:p>
      <w:pPr>
        <w:pStyle w:val="BodyText"/>
      </w:pPr>
      <w:r>
        <w:t xml:space="preserve">The second interpretive issue concerns how the tithe functions — as a binding percentage, as a principle of generous proportional giving, or as an Israel-specific civil/ceremonial regulation. The Reformed reading treats the tithe as part of Israel’s civil-ceremonial economy that is not directly portable to the church as a specific binding percentage, but whose underlying principle — proportional, worship-grounded, community-caring generosity — is permanently normative (2 Corinthians 9:6–8; Luke 21:1–4). The tithe</w:t>
      </w:r>
      <w:r>
        <w:t xml:space="preserve"> </w:t>
      </w:r>
      <w:r>
        <w:rPr>
          <w:i/>
          <w:iCs/>
        </w:rPr>
        <w:t xml:space="preserve">as commanded Israel</w:t>
      </w:r>
      <w:r>
        <w:t xml:space="preserve"> </w:t>
      </w:r>
      <w:r>
        <w:t xml:space="preserve">functioned simultaneously as worship (vv. 22–27), as celebration (v. 26 —</w:t>
      </w:r>
      <w:r>
        <w:t xml:space="preserve"> </w:t>
      </w:r>
      <w:r>
        <w:t xml:space="preserve">“rejoice before the LORD”</w:t>
      </w:r>
      <w:r>
        <w:t xml:space="preserve">), and as social care (vv. 28–29). New covenant giving should embody all three dimensions, even where the specific percentage is not legally binding. The reading that treats the 10% tithe as directly binding on New Testament Christians tends to import the Mosaic civil economy without sufficient attention to the redemptive-historical transition. The reading that abandons any proportional expectation in favor of pure spontaneity underweights the passage’s seriousness about</w:t>
      </w:r>
      <w:r>
        <w:t xml:space="preserve"> </w:t>
      </w:r>
      <w:r>
        <w:rPr>
          <w:i/>
          <w:iCs/>
        </w:rPr>
        <w:t xml:space="preserve">systematic</w:t>
      </w:r>
      <w:r>
        <w:t xml:space="preserve">,</w:t>
      </w:r>
      <w:r>
        <w:t xml:space="preserve"> </w:t>
      </w:r>
      <w:r>
        <w:rPr>
          <w:i/>
          <w:iCs/>
        </w:rPr>
        <w:t xml:space="preserve">calendared</w:t>
      </w:r>
      <w:r>
        <w:t xml:space="preserve">,</w:t>
      </w:r>
      <w:r>
        <w:t xml:space="preserve"> </w:t>
      </w:r>
      <w:r>
        <w:rPr>
          <w:i/>
          <w:iCs/>
        </w:rPr>
        <w:t xml:space="preserve">habitual</w:t>
      </w:r>
      <w:r>
        <w:t xml:space="preserve"> </w:t>
      </w:r>
      <w:r>
        <w:t xml:space="preserve">giving.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11</w:t>
      </w:r>
      <w:r>
        <w:t xml:space="preserve"> </w:t>
      </w:r>
      <w:r>
        <w:t xml:space="preserve">— The parallel dietary legislation in Leviticus grounds the same laws in the same holiness rationale (</w:t>
      </w:r>
      <w:r>
        <w:t xml:space="preserve">“be holy, for I am holy,”</w:t>
      </w:r>
      <w:r>
        <w:t xml:space="preserve"> </w:t>
      </w:r>
      <w:r>
        <w:t xml:space="preserve">Lev. 11:44–45), establishing that Deuteronomy 14 is not a new law but a covenant renewal of Israel’s already-established identity markers.</w:t>
      </w:r>
    </w:p>
    <w:p>
      <w:pPr>
        <w:numPr>
          <w:ilvl w:val="0"/>
          <w:numId w:val="1001"/>
        </w:numPr>
      </w:pPr>
      <w:r>
        <w:rPr>
          <w:b/>
          <w:bCs/>
        </w:rPr>
        <w:t xml:space="preserve">Acts 10:9–16; Mark 7:14–19</w:t>
      </w:r>
      <w:r>
        <w:t xml:space="preserve"> </w:t>
      </w:r>
      <w:r>
        <w:t xml:space="preserve">— The New Testament’s explicit abrogation of dietary distinctions (</w:t>
      </w:r>
      <w:r>
        <w:t xml:space="preserve">“he declared all foods clean”</w:t>
      </w:r>
      <w:r>
        <w:t xml:space="preserve">) demonstrates the typological-ceremonial function of the dietary laws and their Christological fulfillment — what Israel enacted in segregated eating, Christ accomplishes by uniting Jew and Gentile in one body.</w:t>
      </w:r>
    </w:p>
    <w:p>
      <w:pPr>
        <w:numPr>
          <w:ilvl w:val="0"/>
          <w:numId w:val="1001"/>
        </w:numPr>
      </w:pPr>
      <w:r>
        <w:rPr>
          <w:b/>
          <w:bCs/>
        </w:rPr>
        <w:t xml:space="preserve">2 Corinthians 9:6–15</w:t>
      </w:r>
      <w:r>
        <w:t xml:space="preserve"> </w:t>
      </w:r>
      <w:r>
        <w:t xml:space="preserve">— Paul’s theology of generosity grounds new covenant giving in the same theology the tithe expresses in Deuteronomy 14: proportional (</w:t>
      </w:r>
      <w:r>
        <w:t xml:space="preserve">“he who sows sparingly will reap sparingly”</w:t>
      </w:r>
      <w:r>
        <w:t xml:space="preserve">), worship-saturated (</w:t>
      </w:r>
      <w:r>
        <w:t xml:space="preserve">“God loves a cheerful giver”</w:t>
      </w:r>
      <w:r>
        <w:t xml:space="preserve">), and grace-motivated (</w:t>
      </w:r>
      <w:r>
        <w:t xml:space="preserve">“thanks be to God for his inexpressible gift”</w:t>
      </w:r>
      <w:r>
        <w:t xml:space="preserve">).</w:t>
      </w:r>
    </w:p>
    <w:p>
      <w:pPr>
        <w:numPr>
          <w:ilvl w:val="0"/>
          <w:numId w:val="1001"/>
        </w:numPr>
      </w:pPr>
      <w:r>
        <w:rPr>
          <w:b/>
          <w:bCs/>
        </w:rPr>
        <w:t xml:space="preserve">1 Peter 2:9–10</w:t>
      </w:r>
      <w:r>
        <w:t xml:space="preserve"> </w:t>
      </w:r>
      <w:r>
        <w:t xml:space="preserve">— The New Testament’s direct application of Israel’s identity-language to the church (</w:t>
      </w:r>
      <w:r>
        <w:t xml:space="preserve">“a chosen people, a royal priesthood, a holy nation”</w:t>
      </w:r>
      <w:r>
        <w:t xml:space="preserve">) demonstrates that the</w:t>
      </w:r>
      <w:r>
        <w:t xml:space="preserve"> </w:t>
      </w:r>
      <w:r>
        <w:rPr>
          <w:i/>
          <w:iCs/>
        </w:rPr>
        <w:t xml:space="preserve">identity</w:t>
      </w:r>
      <w:r>
        <w:t xml:space="preserve"> </w:t>
      </w:r>
      <w:r>
        <w:t xml:space="preserve">Deuteronomy 14 describes is not abolished but fulfilled and extended — the church inhabits the same calling to be visibly different from the surrounding culture.</w:t>
      </w:r>
    </w:p>
    <w:p>
      <w:pPr>
        <w:numPr>
          <w:ilvl w:val="0"/>
          <w:numId w:val="1001"/>
        </w:numPr>
      </w:pPr>
      <w:r>
        <w:rPr>
          <w:b/>
          <w:bCs/>
        </w:rPr>
        <w:t xml:space="preserve">Malachi 3:10</w:t>
      </w:r>
      <w:r>
        <w:t xml:space="preserve"> </w:t>
      </w:r>
      <w:r>
        <w:t xml:space="preserve">— The post-exilic prophetic call to return the full tithe to the storehouse, with its promise of covenant blessing, demonstrates that the tithe’s function in Deuteronomy 14 is not arbitrary civil regulation but covenant faithfulness — hoarding is unfaithfulness; returning to God is trust.</w:t>
      </w:r>
    </w:p>
    <w:p>
      <w:r>
        <w:pict>
          <v:rect style="width:0;height:1.5pt" o:hralign="center" o:hrstd="t" o:hr="t"/>
        </w:pict>
      </w:r>
    </w:p>
    <w:p>
      <w:pPr>
        <w:pStyle w:val="FirstParagraph"/>
      </w:pPr>
      <w:r>
        <w:rPr>
          <w:b/>
          <w:bCs/>
        </w:rPr>
        <w:t xml:space="preserve">Aim:</w:t>
      </w:r>
      <w:r>
        <w:t xml:space="preserve"> </w:t>
      </w:r>
      <w:r>
        <w:t xml:space="preserve">To show that Israel’s holiness identity — and by extension the church’s — is not merely a theological category but a whole-life calling that shapes daily habits, table practices, and the concrete use of material resources, all as embodied worship.</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Prohibition of pagan mourning rites (cutting, baldness); grounded in Israel’s identity as</w:t>
            </w:r>
            <w:r>
              <w:t xml:space="preserve"> </w:t>
            </w:r>
            <w:r>
              <w:t xml:space="preserve">“sons of the LORD your God”</w:t>
            </w:r>
            <w:r>
              <w:t xml:space="preserve"> </w:t>
            </w:r>
            <w:r>
              <w:t xml:space="preserve">and a</w:t>
            </w:r>
            <w:r>
              <w:t xml:space="preserve"> </w:t>
            </w:r>
            <w:r>
              <w:t xml:space="preserve">“holy people”</w:t>
            </w:r>
          </w:p>
        </w:tc>
        <w:tc>
          <w:tcPr/>
          <w:p>
            <w:pPr>
              <w:pStyle w:val="Compact"/>
            </w:pPr>
            <w:r>
              <w:t xml:space="preserve">Identity precedes regulation — the prohibition flows from who Israel is, not merely what she must do</w:t>
            </w:r>
          </w:p>
        </w:tc>
      </w:tr>
      <w:tr>
        <w:tc>
          <w:tcPr/>
          <w:p>
            <w:pPr>
              <w:pStyle w:val="Compact"/>
            </w:pPr>
            <w:r>
              <w:t xml:space="preserve">3</w:t>
            </w:r>
          </w:p>
        </w:tc>
        <w:tc>
          <w:tcPr/>
          <w:p>
            <w:pPr>
              <w:pStyle w:val="Compact"/>
            </w:pPr>
            <w:r>
              <w:t xml:space="preserve">Introductory heading:</w:t>
            </w:r>
            <w:r>
              <w:t xml:space="preserve"> </w:t>
            </w:r>
            <w:r>
              <w:t xml:space="preserve">“You shall not eat any abomination”</w:t>
            </w:r>
          </w:p>
        </w:tc>
        <w:tc>
          <w:tcPr/>
          <w:p>
            <w:pPr>
              <w:pStyle w:val="Compact"/>
            </w:pPr>
            <w:r>
              <w:t xml:space="preserve">Bridges the identity declaration (vv. 1–2) to the specific dietary laws</w:t>
            </w:r>
          </w:p>
        </w:tc>
      </w:tr>
      <w:tr>
        <w:tc>
          <w:tcPr/>
          <w:p>
            <w:pPr>
              <w:pStyle w:val="Compact"/>
            </w:pPr>
            <w:r>
              <w:t xml:space="preserve">4–8</w:t>
            </w:r>
          </w:p>
        </w:tc>
        <w:tc>
          <w:tcPr/>
          <w:p>
            <w:pPr>
              <w:pStyle w:val="Compact"/>
            </w:pPr>
            <w:r>
              <w:t xml:space="preserve">Clean and unclean land animals — cloven hoof and cud-chewing as dual criteria for cleanness</w:t>
            </w:r>
          </w:p>
        </w:tc>
        <w:tc>
          <w:tcPr/>
          <w:p>
            <w:pPr>
              <w:pStyle w:val="Compact"/>
            </w:pPr>
            <w:r>
              <w:t xml:space="preserve">Pig and camel as paradigmatic unclean animals; the criteria are not explained hygienically but simply stated as covenant regulation</w:t>
            </w:r>
          </w:p>
        </w:tc>
      </w:tr>
      <w:tr>
        <w:tc>
          <w:tcPr/>
          <w:p>
            <w:pPr>
              <w:pStyle w:val="Compact"/>
            </w:pPr>
            <w:r>
              <w:t xml:space="preserve">9–10</w:t>
            </w:r>
          </w:p>
        </w:tc>
        <w:tc>
          <w:tcPr/>
          <w:p>
            <w:pPr>
              <w:pStyle w:val="Compact"/>
            </w:pPr>
            <w:r>
              <w:t xml:space="preserve">Clean and unclean water creatures — fins and scales as criteria</w:t>
            </w:r>
          </w:p>
        </w:tc>
        <w:tc>
          <w:tcPr/>
          <w:p>
            <w:pPr>
              <w:pStyle w:val="Compact"/>
            </w:pPr>
            <w:r>
              <w:t xml:space="preserve">Shellfish implicitly excluded</w:t>
            </w:r>
          </w:p>
        </w:tc>
      </w:tr>
      <w:tr>
        <w:tc>
          <w:tcPr/>
          <w:p>
            <w:pPr>
              <w:pStyle w:val="Compact"/>
            </w:pPr>
            <w:r>
              <w:t xml:space="preserve">11–20</w:t>
            </w:r>
          </w:p>
        </w:tc>
        <w:tc>
          <w:tcPr/>
          <w:p>
            <w:pPr>
              <w:pStyle w:val="Compact"/>
            </w:pPr>
            <w:r>
              <w:t xml:space="preserve">Clean and unclean birds and flying insects — specific unclean species listed; clean birds permitted by implication</w:t>
            </w:r>
          </w:p>
        </w:tc>
        <w:tc>
          <w:tcPr/>
          <w:p>
            <w:pPr>
              <w:pStyle w:val="Compact"/>
            </w:pPr>
            <w:r>
              <w:t xml:space="preserve">The list of forbidden birds includes most birds of prey — possible association with death and scavenging</w:t>
            </w:r>
          </w:p>
        </w:tc>
      </w:tr>
      <w:tr>
        <w:tc>
          <w:tcPr/>
          <w:p>
            <w:pPr>
              <w:pStyle w:val="Compact"/>
            </w:pPr>
            <w:r>
              <w:t xml:space="preserve">21a</w:t>
            </w:r>
          </w:p>
        </w:tc>
        <w:tc>
          <w:tcPr/>
          <w:p>
            <w:pPr>
              <w:pStyle w:val="Compact"/>
            </w:pPr>
            <w:r>
              <w:t xml:space="preserve">Prohibition on eating anything that dies of itself; may be given to sojourner or sold to foreigner</w:t>
            </w:r>
          </w:p>
        </w:tc>
        <w:tc>
          <w:tcPr/>
          <w:p>
            <w:pPr>
              <w:pStyle w:val="Compact"/>
            </w:pPr>
            <w:r>
              <w:t xml:space="preserve">The distinction between Israel and the nations is explicit — Israel’s holiness creates a different standard</w:t>
            </w:r>
          </w:p>
        </w:tc>
      </w:tr>
      <w:tr>
        <w:tc>
          <w:tcPr/>
          <w:p>
            <w:pPr>
              <w:pStyle w:val="Compact"/>
            </w:pPr>
            <w:r>
              <w:t xml:space="preserve">21b</w:t>
            </w:r>
          </w:p>
        </w:tc>
        <w:tc>
          <w:tcPr/>
          <w:p>
            <w:pPr>
              <w:pStyle w:val="Compact"/>
            </w:pPr>
            <w:r>
              <w:t xml:space="preserve">Prohibition on boiling a young goat in its mother’s milk</w:t>
            </w:r>
          </w:p>
        </w:tc>
        <w:tc>
          <w:tcPr/>
          <w:p>
            <w:pPr>
              <w:pStyle w:val="Compact"/>
            </w:pPr>
            <w:r>
              <w:t xml:space="preserve">Likely prohibition of a Canaanite fertility rite practice; grounds the prohibition in Israel’s separation from Canaanite religious culture</w:t>
            </w:r>
          </w:p>
        </w:tc>
      </w:tr>
      <w:tr>
        <w:tc>
          <w:tcPr/>
          <w:p>
            <w:pPr>
              <w:pStyle w:val="Compact"/>
            </w:pPr>
            <w:r>
              <w:t xml:space="preserve">22–23</w:t>
            </w:r>
          </w:p>
        </w:tc>
        <w:tc>
          <w:tcPr/>
          <w:p>
            <w:pPr>
              <w:pStyle w:val="Compact"/>
            </w:pPr>
            <w:r>
              <w:t xml:space="preserve">Command to tithe annually: a tenth of all produce brought to the central sanctuary; purpose —</w:t>
            </w:r>
            <w:r>
              <w:t xml:space="preserve"> </w:t>
            </w:r>
            <w:r>
              <w:t xml:space="preserve">“that you may learn to fear the LORD your God always”</w:t>
            </w:r>
          </w:p>
        </w:tc>
        <w:tc>
          <w:tcPr/>
          <w:p>
            <w:pPr>
              <w:pStyle w:val="Compact"/>
            </w:pPr>
            <w:r>
              <w:t xml:space="preserve">The tithe is explicitly pedagogical — it trains the disposition of reverence and dependence</w:t>
            </w:r>
          </w:p>
        </w:tc>
      </w:tr>
      <w:tr>
        <w:tc>
          <w:tcPr/>
          <w:p>
            <w:pPr>
              <w:pStyle w:val="Compact"/>
            </w:pPr>
            <w:r>
              <w:t xml:space="preserve">24–26</w:t>
            </w:r>
          </w:p>
        </w:tc>
        <w:tc>
          <w:tcPr/>
          <w:p>
            <w:pPr>
              <w:pStyle w:val="Compact"/>
            </w:pPr>
            <w:r>
              <w:t xml:space="preserve">Provision for distance — if the journey is too far, convert the tithe to money, travel, and spend it at the sanctuary:</w:t>
            </w:r>
            <w:r>
              <w:t xml:space="preserve"> </w:t>
            </w:r>
            <w:r>
              <w:t xml:space="preserve">“whatever you desire”</w:t>
            </w:r>
            <w:r>
              <w:t xml:space="preserve"> </w:t>
            </w:r>
            <w:r>
              <w:t xml:space="preserve">— including wine and strong drink</w:t>
            </w:r>
          </w:p>
        </w:tc>
        <w:tc>
          <w:tcPr/>
          <w:p>
            <w:pPr>
              <w:pStyle w:val="Compact"/>
            </w:pPr>
            <w:r>
              <w:t xml:space="preserve">The tithe feast at the sanctuary is joyful and generous; the provision for distance shows pastoral accommodation without reducing the obligation</w:t>
            </w:r>
          </w:p>
        </w:tc>
      </w:tr>
      <w:tr>
        <w:tc>
          <w:tcPr/>
          <w:p>
            <w:pPr>
              <w:pStyle w:val="Compact"/>
            </w:pPr>
            <w:r>
              <w:t xml:space="preserve">27</w:t>
            </w:r>
          </w:p>
        </w:tc>
        <w:tc>
          <w:tcPr/>
          <w:p>
            <w:pPr>
              <w:pStyle w:val="Compact"/>
            </w:pPr>
            <w:r>
              <w:t xml:space="preserve">Reminder not to neglect the Levite within the gates</w:t>
            </w:r>
          </w:p>
        </w:tc>
        <w:tc>
          <w:tcPr/>
          <w:p>
            <w:pPr>
              <w:pStyle w:val="Compact"/>
            </w:pPr>
            <w:r>
              <w:t xml:space="preserve">The Levite has no inheritance — he is dependent on the tithe-community</w:t>
            </w:r>
          </w:p>
        </w:tc>
      </w:tr>
      <w:tr>
        <w:tc>
          <w:tcPr/>
          <w:p>
            <w:pPr>
              <w:pStyle w:val="Compact"/>
            </w:pPr>
            <w:r>
              <w:t xml:space="preserve">28–29</w:t>
            </w:r>
          </w:p>
        </w:tc>
        <w:tc>
          <w:tcPr/>
          <w:p>
            <w:pPr>
              <w:pStyle w:val="Compact"/>
            </w:pPr>
            <w:r>
              <w:t xml:space="preserve">Triennial tithe — every third year, stored locally for Levite, sojourner, fatherless, and widow; promise:</w:t>
            </w:r>
            <w:r>
              <w:t xml:space="preserve"> </w:t>
            </w:r>
            <w:r>
              <w:t xml:space="preserve">“so that the LORD your God may bless you in all the work of your hands”</w:t>
            </w:r>
          </w:p>
        </w:tc>
        <w:tc>
          <w:tcPr/>
          <w:p>
            <w:pPr>
              <w:pStyle w:val="Compact"/>
            </w:pPr>
            <w:r>
              <w:t xml:space="preserve">The social care dimension of the tithe is covenantal, not merely charitable — it is commanded, systematic, and tied to covenant blessing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Identity Grounding:</w:t>
            </w:r>
            <w:r>
              <w:t xml:space="preserve"> </w:t>
            </w:r>
            <w:r>
              <w:t xml:space="preserve">“You Are a Holy People”</w:t>
            </w:r>
          </w:p>
        </w:tc>
      </w:tr>
      <w:tr>
        <w:tc>
          <w:tcPr/>
          <w:p>
            <w:pPr>
              <w:pStyle w:val="Compact"/>
            </w:pPr>
            <w:r>
              <w:t xml:space="preserve">2</w:t>
            </w:r>
          </w:p>
        </w:tc>
        <w:tc>
          <w:tcPr/>
          <w:p>
            <w:pPr>
              <w:pStyle w:val="Compact"/>
            </w:pPr>
            <w:r>
              <w:t xml:space="preserve">3–21</w:t>
            </w:r>
          </w:p>
        </w:tc>
        <w:tc>
          <w:tcPr/>
          <w:p>
            <w:pPr>
              <w:pStyle w:val="Compact"/>
            </w:pPr>
            <w:r>
              <w:t xml:space="preserve">The Table of the Holy: Dietary Laws as Enacted Distinction</w:t>
            </w:r>
          </w:p>
        </w:tc>
      </w:tr>
      <w:tr>
        <w:tc>
          <w:tcPr/>
          <w:p>
            <w:pPr>
              <w:pStyle w:val="Compact"/>
            </w:pPr>
            <w:r>
              <w:t xml:space="preserve">3</w:t>
            </w:r>
          </w:p>
        </w:tc>
        <w:tc>
          <w:tcPr/>
          <w:p>
            <w:pPr>
              <w:pStyle w:val="Compact"/>
            </w:pPr>
            <w:r>
              <w:t xml:space="preserve">22–27</w:t>
            </w:r>
          </w:p>
        </w:tc>
        <w:tc>
          <w:tcPr/>
          <w:p>
            <w:pPr>
              <w:pStyle w:val="Compact"/>
            </w:pPr>
            <w:r>
              <w:t xml:space="preserve">The Annual Tithe: Wealth Returned to God in Worship and Celebration</w:t>
            </w:r>
          </w:p>
        </w:tc>
      </w:tr>
      <w:tr>
        <w:tc>
          <w:tcPr/>
          <w:p>
            <w:pPr>
              <w:pStyle w:val="Compact"/>
            </w:pPr>
            <w:r>
              <w:t xml:space="preserve">4</w:t>
            </w:r>
          </w:p>
        </w:tc>
        <w:tc>
          <w:tcPr/>
          <w:p>
            <w:pPr>
              <w:pStyle w:val="Compact"/>
            </w:pPr>
            <w:r>
              <w:t xml:space="preserve">28–29</w:t>
            </w:r>
          </w:p>
        </w:tc>
        <w:tc>
          <w:tcPr/>
          <w:p>
            <w:pPr>
              <w:pStyle w:val="Compact"/>
            </w:pPr>
            <w:r>
              <w:t xml:space="preserve">The Triennial Tithe: Wealth Extended to the Vulnerable as Covenant Care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holiness before God shapes both her table and her treasury.</w:t>
      </w:r>
    </w:p>
    <w:p>
      <w:pPr>
        <w:pStyle w:val="BodyText"/>
      </w:pPr>
      <w:r>
        <w:rPr>
          <w:b/>
          <w:bCs/>
        </w:rPr>
        <w:t xml:space="preserve">Primary Claim:</w:t>
      </w:r>
      <w:r>
        <w:t xml:space="preserve"> </w:t>
      </w:r>
      <w:r>
        <w:t xml:space="preserve">Because Israel belongs entirely to the LORD as His holy people, every dimension of her daily life — what she eats, how she mourns, how she uses her wealth — must be ordered by that identity rather than by the surrounding nations’ patterns.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Your identity precedes your behavior — and when identity is right, behavior follows.</w:t>
      </w:r>
    </w:p>
    <w:p>
      <w:pPr>
        <w:pStyle w:val="BodyText"/>
      </w:pPr>
      <w:r>
        <w:t xml:space="preserve">The chapter’s governing logic is always indicative before imperative:</w:t>
      </w:r>
      <w:r>
        <w:t xml:space="preserve"> </w:t>
      </w:r>
      <w:r>
        <w:t xml:space="preserve">“You are a holy people</w:t>
      </w:r>
      <w:r>
        <w:t xml:space="preserve"> </w:t>
      </w:r>
      <w:r>
        <w:rPr>
          <w:i/>
          <w:iCs/>
        </w:rPr>
        <w:t xml:space="preserve">therefore</w:t>
      </w:r>
      <w:r>
        <w:t xml:space="preserve"> </w:t>
      </w:r>
      <w:r>
        <w:t xml:space="preserve">you shall not…”</w:t>
      </w:r>
      <w:r>
        <w:t xml:space="preserve"> </w:t>
      </w:r>
      <w:r>
        <w:t xml:space="preserve">(vv. 2, 21). The most common failure in Christian discipleship is attempting to generate right behavior without first securing right identity. The person who is constantly straining to behave differently has not yet received, or has forgotten, who they are. Deuteronomy 14 models the only sustainable sequence: God declares who Israel is, and the regulations then express that reality in embodied form. The application for the believer is foundational: stop beginning with</w:t>
      </w:r>
      <w:r>
        <w:t xml:space="preserve"> </w:t>
      </w:r>
      <w:r>
        <w:t xml:space="preserve">“what must I do?”</w:t>
      </w:r>
      <w:r>
        <w:t xml:space="preserve"> </w:t>
      </w:r>
      <w:r>
        <w:t xml:space="preserve">and begin instead with</w:t>
      </w:r>
      <w:r>
        <w:t xml:space="preserve"> </w:t>
      </w:r>
      <w:r>
        <w:t xml:space="preserve">“who has God declared me to be?”</w:t>
      </w:r>
      <w:r>
        <w:t xml:space="preserve"> </w:t>
      </w:r>
      <w:r>
        <w:t xml:space="preserve">— chosen, holy, called, set apart (1 Peter 2:9) — and let that truth generate the practices that follow.</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Examine whether your daily habits mark you as belonging to God or assimilating to the surrounding culture.</w:t>
      </w:r>
    </w:p>
    <w:p>
      <w:pPr>
        <w:pStyle w:val="BodyText"/>
      </w:pPr>
      <w:r>
        <w:t xml:space="preserve">The dietary laws, whatever their specific form, functioned as daily, repeated, visible markers of a people who did not belong to Egypt or Canaan — they belonged to the LORD. The question the laws press on their hearers is not merely</w:t>
      </w:r>
      <w:r>
        <w:t xml:space="preserve"> </w:t>
      </w:r>
      <w:r>
        <w:t xml:space="preserve">“are you following the rules?”</w:t>
      </w:r>
      <w:r>
        <w:t xml:space="preserve"> </w:t>
      </w:r>
      <w:r>
        <w:t xml:space="preserve">but</w:t>
      </w:r>
      <w:r>
        <w:t xml:space="preserve"> </w:t>
      </w:r>
      <w:r>
        <w:t xml:space="preserve">“does your daily life, in its habitual rhythms, mark you as someone who belongs to God?”</w:t>
      </w:r>
      <w:r>
        <w:t xml:space="preserve"> </w:t>
      </w:r>
      <w:r>
        <w:t xml:space="preserve">For the new covenant believer, the specific food regulations are fulfilled in Christ, but the underlying question remains urgent. Where have you unconsciously adopted the mourning rites, dietary practices, financial habits, and entertainment patterns of the surrounding culture without asking whether they are fitting for a holy people? The chapter is not calling for paranoid cultural withdrawal but for</w:t>
      </w:r>
      <w:r>
        <w:t xml:space="preserve"> </w:t>
      </w:r>
      <w:r>
        <w:rPr>
          <w:i/>
          <w:iCs/>
        </w:rPr>
        <w:t xml:space="preserve">deliberate, reflective distinctiveness</w:t>
      </w:r>
      <w:r>
        <w:t xml:space="preserve"> </w:t>
      </w:r>
      <w:r>
        <w:t xml:space="preserve">— the kind that can only come from a settled, affectionate sense of belonging to Someone other than the surrounding world.</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Give systematically, proportionally, and with the kind of joy that proves you believe God owns it all.</w:t>
      </w:r>
    </w:p>
    <w:p>
      <w:pPr>
        <w:pStyle w:val="BodyText"/>
      </w:pPr>
      <w:r>
        <w:t xml:space="preserve">Deuteronomy 14:22–27 is striking not only for its command to tithe but for its command to</w:t>
      </w:r>
      <w:r>
        <w:t xml:space="preserve"> </w:t>
      </w:r>
      <w:r>
        <w:rPr>
          <w:i/>
          <w:iCs/>
        </w:rPr>
        <w:t xml:space="preserve">rejoice</w:t>
      </w:r>
      <w:r>
        <w:t xml:space="preserve"> </w:t>
      </w:r>
      <w:r>
        <w:t xml:space="preserve">at the sanctuary feast —</w:t>
      </w:r>
      <w:r>
        <w:t xml:space="preserve"> </w:t>
      </w:r>
      <w:r>
        <w:t xml:space="preserve">“you shall eat there before the LORD your God and rejoice”</w:t>
      </w:r>
      <w:r>
        <w:t xml:space="preserve"> </w:t>
      </w:r>
      <w:r>
        <w:t xml:space="preserve">(v. 26). The tithe is not merely a tax; it is a celebration. It is the fiscal enactment of the belief that the harvest belongs to God first and that returning a portion to Him in worship is the appropriate response of a recipient to a giver. The concrete application is this: establish a regular, proportional practice of giving that precedes — not follows — your other financial decisions, and give with the kind of deliberate joy that comes from actually believing God owns everything and you are a steward. Joyless tithing or purely spontaneous giving both miss the chapter’s point. The tithe is systematic</w:t>
      </w:r>
      <w:r>
        <w:t xml:space="preserve"> </w:t>
      </w:r>
      <w:r>
        <w:rPr>
          <w:i/>
          <w:iCs/>
        </w:rPr>
        <w:t xml:space="preserve">and</w:t>
      </w:r>
      <w:r>
        <w:t xml:space="preserve"> </w:t>
      </w:r>
      <w:r>
        <w:t xml:space="preserve">celebratory.</w:t>
      </w:r>
    </w:p>
    <w:p>
      <w:pPr>
        <w:pStyle w:val="BodyText"/>
      </w:pPr>
      <w:r>
        <w:rPr>
          <w:b/>
          <w:bCs/>
        </w:rPr>
        <w:t xml:space="preserve">4.</w:t>
      </w:r>
      <w:r>
        <w:rPr>
          <w:b/>
          <w:bCs/>
        </w:rPr>
        <w:t xml:space="preserve"> </w:t>
      </w:r>
      <w:r>
        <w:rPr>
          <w:b/>
          <w:bCs/>
          <w:i/>
          <w:iCs/>
        </w:rPr>
        <w:t xml:space="preserve">(Will/Behavior)</w:t>
      </w:r>
      <w:r>
        <w:rPr>
          <w:b/>
          <w:bCs/>
        </w:rPr>
        <w:t xml:space="preserve"> </w:t>
      </w:r>
      <w:r>
        <w:rPr>
          <w:b/>
          <w:bCs/>
        </w:rPr>
        <w:t xml:space="preserve">Build into your giving pattern a specific provision for the economically vulnerable in your community.</w:t>
      </w:r>
    </w:p>
    <w:p>
      <w:pPr>
        <w:pStyle w:val="BodyText"/>
      </w:pPr>
      <w:r>
        <w:t xml:space="preserve">The triennial tithe of verses 28–29 is not a spontaneous act of generosity — it is a calendared, systematic, community-level provision for the Levite, sojourner, orphan, and widow. It is covenant infrastructure for the poor. The application is structural, not merely sentimental: generosity toward the vulnerable should not be something that happens when you happen to feel moved, but something that is built into the regular rhythm of your financial life. Ask not only</w:t>
      </w:r>
      <w:r>
        <w:t xml:space="preserve"> </w:t>
      </w:r>
      <w:r>
        <w:t xml:space="preserve">“do I give to the church?”</w:t>
      </w:r>
      <w:r>
        <w:t xml:space="preserve"> </w:t>
      </w:r>
      <w:r>
        <w:t xml:space="preserve">but</w:t>
      </w:r>
      <w:r>
        <w:t xml:space="preserve"> </w:t>
      </w:r>
      <w:r>
        <w:t xml:space="preserve">“is there a regular, deliberate provision in my financial life for those who have no inheritance, no safety net, and no voice?”</w:t>
      </w:r>
      <w:r>
        <w:t xml:space="preserve"> </w:t>
      </w:r>
      <w:r>
        <w:t xml:space="preserve">The covenant community is responsible, together, for those who cannot provide for themselves.</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Let the promise that accompanies the tithe reorient your functional relationship to money — from security to trust.</w:t>
      </w:r>
    </w:p>
    <w:p>
      <w:pPr>
        <w:pStyle w:val="BodyText"/>
      </w:pPr>
      <w:r>
        <w:t xml:space="preserve">The chapter closes with a covenant promise:</w:t>
      </w:r>
      <w:r>
        <w:t xml:space="preserve"> </w:t>
      </w:r>
      <w:r>
        <w:t xml:space="preserve">“so that the LORD your God may bless you in all the work of your hands”</w:t>
      </w:r>
      <w:r>
        <w:t xml:space="preserve"> </w:t>
      </w:r>
      <w:r>
        <w:t xml:space="preserve">(v. 29). This is not a prosperity formula — it is a covenant assurance that the God who commands the return of His own wealth will provide for those who trust Him with it. The Keller-shaped diagnostic question this raises is about the functional idol: money functions as a security system for those who do not trust God to provide. The tithe — especially the tithe given</w:t>
      </w:r>
      <w:r>
        <w:t xml:space="preserve"> </w:t>
      </w:r>
      <w:r>
        <w:rPr>
          <w:i/>
          <w:iCs/>
        </w:rPr>
        <w:t xml:space="preserve">away</w:t>
      </w:r>
      <w:r>
        <w:t xml:space="preserve"> </w:t>
      </w:r>
      <w:r>
        <w:t xml:space="preserve">to those who cannot repay it — is an act of warfare against that idol. Every time you give to the sojourner and the fatherless, you are confessing with your wallet that your security does not rest in your savings. Let the giving be the act of worship it was always meant to be — not reluctant compliance, but the joyful declaration of a person who has found their security somewhere other than their bank account.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Deuteronomy 14 teaches that God’s holiness is not merely an attribute He possesses but a reality He communicates to His people — a holiness that is intended to be</w:t>
      </w:r>
      <w:r>
        <w:t xml:space="preserve"> </w:t>
      </w:r>
      <w:r>
        <w:rPr>
          <w:i/>
          <w:iCs/>
        </w:rPr>
        <w:t xml:space="preserve">visible</w:t>
      </w:r>
      <w:r>
        <w:t xml:space="preserve">,</w:t>
      </w:r>
      <w:r>
        <w:t xml:space="preserve"> </w:t>
      </w:r>
      <w:r>
        <w:rPr>
          <w:i/>
          <w:iCs/>
        </w:rPr>
        <w:t xml:space="preserve">embodied</w:t>
      </w:r>
      <w:r>
        <w:t xml:space="preserve">, and</w:t>
      </w:r>
      <w:r>
        <w:t xml:space="preserve"> </w:t>
      </w:r>
      <w:r>
        <w:rPr>
          <w:i/>
          <w:iCs/>
        </w:rPr>
        <w:t xml:space="preserve">habitual</w:t>
      </w:r>
      <w:r>
        <w:t xml:space="preserve">. The chapter reveals that God takes seriously the danger of His people becoming indistinguishable from the nations around them — not merely theologically but in the practical, daily texture of life. It also reveals that God’s claim on Israel is comprehensive: not limited to worship assemblies or formal religious occasions but extending to the table, the mourning customs, and the management of the harvest. The triennial tithe demonstrates further that God’s covenant purposes are not merely vertical (Israel before the LORD) but horizontal (Israel caring for the vulnerable in her midst) — and that these two dimensions are inseparable. To neglect the Levite, the sojourner, and the orphan is not merely a social failure; it is a covenant failure.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Deuteronomy 14 is a concentrated expression of the covenant principle that grace precedes obligation — Israel is declared holy</w:t>
      </w:r>
      <w:r>
        <w:t xml:space="preserve"> </w:t>
      </w:r>
      <w:r>
        <w:rPr>
          <w:i/>
          <w:iCs/>
        </w:rPr>
        <w:t xml:space="preserve">before</w:t>
      </w:r>
      <w:r>
        <w:t xml:space="preserve"> </w:t>
      </w:r>
      <w:r>
        <w:t xml:space="preserve">she is commanded to be holy, and every regulation in the chapter flows from that prior declaration. This is the anti-moralist logic that Reformed exposition must preserve: the regulations are not the ladder by which Israel climbs toward God’s favor but the way of life fitting for a people already in God’s favor. The dietary laws, in their typological function, point forward to the great eschatological meal where all distinctions between clean and unclean are resolved in Christ — who declared all foods clean, who received the Gentiles into the covenant, and who is Himself the feast the tithe-celebration at the sanctuary was always shadowing. The tithe theology of vv. 22–29 is proto-grace economics: wealth belongs to God, is returned to God in worship, and is then extended by God’s people to those who have nothing — an enacted parable of the gospel itself, in which what is God’s is given away for the benefit of the undeserving.</w:t>
      </w:r>
    </w:p>
    <w:p>
      <w:r>
        <w:pict>
          <v:rect style="width:0;height:1.5pt" o:hralign="center" o:hrstd="t" o:hr="t"/>
        </w:pict>
      </w:r>
    </w:p>
    <w:p>
      <w:pPr>
        <w:pStyle w:val="FirstParagraph"/>
      </w:pPr>
      <w:r>
        <w:rPr>
          <w:b/>
          <w:bCs/>
        </w:rPr>
        <w:t xml:space="preserve">Main Takeaway:</w:t>
      </w:r>
      <w:r>
        <w:t xml:space="preserve"> </w:t>
      </w:r>
      <w:r>
        <w:t xml:space="preserve">You are a holy people — not because of what you do, but because of whose you are. That identity is not a Sunday category; it is a whole-life reality that should show up at your table, in your mourning, in your bank account, and in how you treat the people in your community who have nothing. The question Deuteronomy 14 presses on every reader is not</w:t>
      </w:r>
      <w:r>
        <w:t xml:space="preserve"> </w:t>
      </w:r>
      <w:r>
        <w:t xml:space="preserve">“are you religious enough?”</w:t>
      </w:r>
      <w:r>
        <w:t xml:space="preserve"> </w:t>
      </w:r>
      <w:r>
        <w:t xml:space="preserve">but</w:t>
      </w:r>
      <w:r>
        <w:t xml:space="preserve"> </w:t>
      </w:r>
      <w:r>
        <w:t xml:space="preserve">“does your actual daily life — the food you eat, the money you spend, the people you provide for — bear any visible witness to the fact that you belong to Someone who is not the surrounding world?”</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Treating the dietary laws as primarily hygienic and therefore still binding (or primarily hygienic and therefore irrelevant).</w:t>
      </w:r>
      <w:r>
        <w:t xml:space="preserve"> </w:t>
      </w:r>
      <w:r>
        <w:t xml:space="preserve">Both errors miss the chapter’s own rationale, which is consistently theological (</w:t>
      </w:r>
      <w:r>
        <w:t xml:space="preserve">“you are holy”</w:t>
      </w:r>
      <w:r>
        <w:t xml:space="preserve">), not medical. The preacher who says</w:t>
      </w:r>
      <w:r>
        <w:t xml:space="preserve"> </w:t>
      </w:r>
      <w:r>
        <w:t xml:space="preserve">“God forbade pork because trichinosis”</w:t>
      </w:r>
      <w:r>
        <w:t xml:space="preserve"> </w:t>
      </w:r>
      <w:r>
        <w:t xml:space="preserve">has evacuated the passage of its actual content; the preacher who says</w:t>
      </w:r>
      <w:r>
        <w:t xml:space="preserve"> </w:t>
      </w:r>
      <w:r>
        <w:t xml:space="preserve">“these laws are just ancient health codes with no theological significance”</w:t>
      </w:r>
      <w:r>
        <w:t xml:space="preserve"> </w:t>
      </w:r>
      <w:r>
        <w:t xml:space="preserve">has done the same. The dietary laws are covenant-identity markers with typological force — preach them that way, and let the New Testament fulfillment in Christ give them their full meaning.</w:t>
      </w:r>
    </w:p>
    <w:p>
      <w:pPr>
        <w:numPr>
          <w:ilvl w:val="0"/>
          <w:numId w:val="1002"/>
        </w:numPr>
      </w:pPr>
      <w:r>
        <w:rPr>
          <w:b/>
          <w:bCs/>
        </w:rPr>
        <w:t xml:space="preserve">Separating the two halves of the chapter as if they have no connection.</w:t>
      </w:r>
      <w:r>
        <w:t xml:space="preserve"> </w:t>
      </w:r>
      <w:r>
        <w:t xml:space="preserve">The dietary laws and the tithe laws are not accidentally adjacent — both are applications of the same governing principle stated in verse 2. A sermon that treats vv. 1–21 and vv. 22–29 as two unrelated topics has missed the chapter’s coherence. The holiness identity that shapes the table also shapes the treasury. Preach the chapter as a unified whole.</w:t>
      </w:r>
    </w:p>
    <w:p>
      <w:pPr>
        <w:numPr>
          <w:ilvl w:val="0"/>
          <w:numId w:val="1002"/>
        </w:numPr>
      </w:pPr>
      <w:r>
        <w:rPr>
          <w:b/>
          <w:bCs/>
        </w:rPr>
        <w:t xml:space="preserve">Reducing the tithe to a financial obligation and missing its worship and celebratory dimensions.</w:t>
      </w:r>
      <w:r>
        <w:t xml:space="preserve"> </w:t>
      </w:r>
      <w:r>
        <w:t xml:space="preserve">Verses 22–27 command not just a transfer of funds but a journey, a feast, and a rejoicing —</w:t>
      </w:r>
      <w:r>
        <w:t xml:space="preserve"> </w:t>
      </w:r>
      <w:r>
        <w:t xml:space="preserve">“whatever you desire”</w:t>
      </w:r>
      <w:r>
        <w:t xml:space="preserve"> </w:t>
      </w:r>
      <w:r>
        <w:t xml:space="preserve">(v. 26). A tithe sermon that produces guilt without joy has not preached Deuteronomy 14. The chapter’s tithe theology is generous, festive, and worship-saturated. Preaching it as a tax creates exactly the joyless, resentful giving that 2 Corinthians 9:7 prohibits.</w:t>
      </w:r>
    </w:p>
    <w:p>
      <w:pPr>
        <w:numPr>
          <w:ilvl w:val="0"/>
          <w:numId w:val="1002"/>
        </w:numPr>
      </w:pPr>
      <w:r>
        <w:rPr>
          <w:b/>
          <w:bCs/>
        </w:rPr>
        <w:t xml:space="preserve">Treating the triennial tithe as optional generosity rather than covenantal obligation.</w:t>
      </w:r>
      <w:r>
        <w:t xml:space="preserve"> </w:t>
      </w:r>
      <w:r>
        <w:t xml:space="preserve">The language of vv. 28–29 is command, not suggestion:</w:t>
      </w:r>
      <w:r>
        <w:t xml:space="preserve"> </w:t>
      </w:r>
      <w:r>
        <w:t xml:space="preserve">“at the end of every three years you shall bring out the full tithe.”</w:t>
      </w:r>
      <w:r>
        <w:t xml:space="preserve"> </w:t>
      </w:r>
      <w:r>
        <w:t xml:space="preserve">The provision for the Levite, sojourner, fatherless, and widow is not presented as a nice addition to the regular tithe for especially charitable people — it is a covenant requirement with a covenant promise attached. Preaching that soft-pedals this into</w:t>
      </w:r>
      <w:r>
        <w:t xml:space="preserve"> </w:t>
      </w:r>
      <w:r>
        <w:t xml:space="preserve">“consider being generous to the poor”</w:t>
      </w:r>
      <w:r>
        <w:t xml:space="preserve"> </w:t>
      </w:r>
      <w:r>
        <w:t xml:space="preserve">has lost the text’s force.</w:t>
      </w:r>
    </w:p>
    <w:p>
      <w:pPr>
        <w:numPr>
          <w:ilvl w:val="0"/>
          <w:numId w:val="1002"/>
        </w:numPr>
      </w:pPr>
      <w:r>
        <w:rPr>
          <w:b/>
          <w:bCs/>
        </w:rPr>
        <w:t xml:space="preserve">Failing to make the identity-precedes-behavior logic explicit and pastoral.</w:t>
      </w:r>
      <w:r>
        <w:t xml:space="preserve"> </w:t>
      </w:r>
      <w:r>
        <w:t xml:space="preserve">The most powerful move in this chapter is the order: declaration of identity (</w:t>
      </w:r>
      <w:r>
        <w:t xml:space="preserve">“you are a holy people,”</w:t>
      </w:r>
      <w:r>
        <w:t xml:space="preserve"> </w:t>
      </w:r>
      <w:r>
        <w:t xml:space="preserve">v. 2), then regulation of behavior. Preachers who move directly to the applications without first establishing who God has declared His people to be will produce sermon hearers who try to generate behavior from willpower rather than identity. The indicative must precede the imperative — and the preacher’s job is to make that sequence clear and emotionally real, not just logically stated.</w:t>
      </w:r>
    </w:p>
    <w:p>
      <w:pPr>
        <w:numPr>
          <w:ilvl w:val="0"/>
          <w:numId w:val="1002"/>
        </w:numPr>
      </w:pPr>
      <w:r>
        <w:rPr>
          <w:b/>
          <w:bCs/>
        </w:rPr>
        <w:t xml:space="preserve">Applying the dietary laws with inappropriate literalism to new covenant believers, or dismissing them so quickly that their typological richness is lost.</w:t>
      </w:r>
      <w:r>
        <w:t xml:space="preserve"> </w:t>
      </w:r>
      <w:r>
        <w:t xml:space="preserve">The preacher who spends the first half of the sermon apologetically explaining why these laws don’t apply has already lost the passage. The better move is to preach the laws’</w:t>
      </w:r>
      <w:r>
        <w:t xml:space="preserve"> </w:t>
      </w:r>
      <w:r>
        <w:rPr>
          <w:i/>
          <w:iCs/>
        </w:rPr>
        <w:t xml:space="preserve">function</w:t>
      </w:r>
      <w:r>
        <w:t xml:space="preserve"> </w:t>
      </w:r>
      <w:r>
        <w:t xml:space="preserve">— as visible, daily, embodied markers of a people who belong to God — and then show how that function is</w:t>
      </w:r>
      <w:r>
        <w:t xml:space="preserve"> </w:t>
      </w:r>
      <w:r>
        <w:rPr>
          <w:i/>
          <w:iCs/>
        </w:rPr>
        <w:t xml:space="preserve">fulfilled</w:t>
      </w:r>
      <w:r>
        <w:t xml:space="preserve"> </w:t>
      </w:r>
      <w:r>
        <w:t xml:space="preserve">in Christ and</w:t>
      </w:r>
      <w:r>
        <w:t xml:space="preserve"> </w:t>
      </w:r>
      <w:r>
        <w:rPr>
          <w:i/>
          <w:iCs/>
        </w:rPr>
        <w:t xml:space="preserve">carried forward</w:t>
      </w:r>
      <w:r>
        <w:t xml:space="preserve"> </w:t>
      </w:r>
      <w:r>
        <w:t xml:space="preserve">in new covenant distinctiveness, before explaining that the specific regulations themselves are not binding. This honors the text’s canonical placement and its typological depth without leaving the congregation either confused or bored.</w:t>
      </w:r>
    </w:p>
    <w:p>
      <w:r>
        <w:pict>
          <v:rect style="width:0;height:1.5pt" o:hralign="center" o:hrstd="t" o:hr="t"/>
        </w:pict>
      </w:r>
    </w:p>
    <w:p>
      <w:pPr>
        <w:pStyle w:val="FirstParagraph"/>
      </w:pPr>
      <w:r>
        <w:rPr>
          <w:i/>
          <w:iCs/>
        </w:rPr>
        <w:t xml:space="preserve">Document: 05 Deuteronomy 14.docx</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2026-07-14T21:02:05Z</dcterms:created>
  <dcterms:modified xsi:type="dcterms:W3CDTF">2026-07-14T21:02:05Z</dcterms:modified>
</cp:coreProperties>
</file>

<file path=docProps/custom.xml><?xml version="1.0" encoding="utf-8"?>
<Properties xmlns="http://schemas.openxmlformats.org/officeDocument/2006/custom-properties" xmlns:vt="http://schemas.openxmlformats.org/officeDocument/2006/docPropsVTypes"/>
</file>